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210F" w14:textId="77777777" w:rsidR="007B0488" w:rsidRDefault="007B0488" w:rsidP="00CC324E">
      <w:pPr>
        <w:spacing w:after="0" w:line="240" w:lineRule="atLeast"/>
        <w:jc w:val="both"/>
        <w:rPr>
          <w:lang w:eastAsia="cs-CZ"/>
        </w:rPr>
      </w:pPr>
    </w:p>
    <w:p w14:paraId="5D12ACDA" w14:textId="30BC2483" w:rsidR="007E4D54" w:rsidRPr="007B0488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</w:pPr>
      <w:r w:rsidRPr="007B0488"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  <w:t>VEŘEJNÝ ZÁVAZEK</w:t>
      </w:r>
    </w:p>
    <w:p w14:paraId="307E1A49" w14:textId="4DD3C621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Název: 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ODBORNÉ SOCIÁLNÍ PORADENSTVÍ</w:t>
      </w:r>
    </w:p>
    <w:p w14:paraId="70C33C5B" w14:textId="3F0DCA34" w:rsid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Sociální služba: 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dborné sociální poradenství</w:t>
      </w:r>
    </w:p>
    <w:p w14:paraId="5B6DE5F5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0CEF6719" w14:textId="2342E9AC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1. Typ služby</w:t>
      </w:r>
    </w:p>
    <w:p w14:paraId="5752DD42" w14:textId="3B1D578C" w:rsidR="007E4D54" w:rsidRDefault="00993A56" w:rsidP="00993A5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Sociální poradenství poskytované </w:t>
      </w:r>
      <w:proofErr w:type="spellStart"/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ŽIVOTem</w:t>
      </w:r>
      <w:proofErr w:type="spellEnd"/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90, je registrovanou sociální službou. Služba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je poskytována v souladu se zákonem č. 108/2006 Sb., o sociálních službách, ve znění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pozdějších předpisů.</w:t>
      </w:r>
    </w:p>
    <w:p w14:paraId="1ED4028A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0FF0924" w14:textId="253F6D0A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2. 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P</w:t>
      </w:r>
      <w:r w:rsidR="00993A56" w:rsidRP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oslání sociální služby odborné sociální poradenství</w:t>
      </w:r>
      <w:r w:rsidR="00FE4111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:</w:t>
      </w:r>
    </w:p>
    <w:p w14:paraId="1CFA784E" w14:textId="0CA495A8" w:rsidR="00645CDB" w:rsidRPr="00993A56" w:rsidRDefault="00993A56" w:rsidP="00993A5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Posláním odborného sociálního poradenství je prohlubování kvality života seniorů, kteří pro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svůj věk, ztrátu soběstačnosti, pro nemoc, zdravotní postižení, krizovou situaci nebo 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jiných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závažných důvodů, nejsou schopni bez pomoci druhých osob zabezpečovat a uspokojovat své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životní potřeby a hájit své oprávněné zájmy. Posláním služby je uživatelům umožnit aktivní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a smysluplný život v jejich vlastním domově tak dlouho, jak je to jen možné.</w:t>
      </w:r>
    </w:p>
    <w:p w14:paraId="460E1FD2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7D173998" w14:textId="383DD770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3. Cíl</w:t>
      </w:r>
      <w:r w:rsidR="00993A5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ová skupina</w:t>
      </w:r>
      <w:r w:rsidR="004809BB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:</w:t>
      </w:r>
    </w:p>
    <w:p w14:paraId="36D6CF27" w14:textId="34043928" w:rsidR="00993A56" w:rsidRPr="00993A56" w:rsidRDefault="00993A56" w:rsidP="00993A5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senioři a blízké osoby, které pečují o osobu nebo více osob v seniorském věku</w:t>
      </w:r>
      <w:r w:rsidR="00B76CAB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48443DBB" w14:textId="3FD9660A" w:rsidR="00645CDB" w:rsidRDefault="00993A56" w:rsidP="00CC324E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lužba je poskytována bez rozdílu všem osobám spadajícím do cílové skupiny, bez ohledu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na jejich rasu nebo etnický původ, pohlaví, sexuální orientaci, věk, zdravotní postižení,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náboženství či víru; dále také bez ohledu na jazyk, politické či jiné smýšlení, národnost, členství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nebo činnost v politických stranách nebo politických hnutích, odborových organizacích a jiných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sdruženích, sociální původ, majetek, rod, manželský a rodinný stav nebo povinnosti k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993A56">
        <w:rPr>
          <w:rFonts w:ascii="Campton Book" w:eastAsia="Times New Roman" w:hAnsi="Campton Book" w:cs="Times New Roman"/>
          <w:sz w:val="24"/>
          <w:szCs w:val="24"/>
          <w:lang w:eastAsia="cs-CZ"/>
        </w:rPr>
        <w:t>rodině.</w:t>
      </w:r>
    </w:p>
    <w:p w14:paraId="122C5FE8" w14:textId="77777777" w:rsidR="00993A56" w:rsidRPr="00993A56" w:rsidRDefault="00993A56" w:rsidP="00993A5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EA2E41C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7B7B4A6" w14:textId="2998954E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4. </w:t>
      </w:r>
      <w:r w:rsidR="00993A5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Forma poskytování služby</w:t>
      </w:r>
      <w:r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01A82E5A" w14:textId="77777777" w:rsidR="00CA4006" w:rsidRPr="00CA4006" w:rsidRDefault="00CA4006" w:rsidP="00CA4006">
      <w:pPr>
        <w:pStyle w:val="Odstavecseseznamem"/>
        <w:numPr>
          <w:ilvl w:val="0"/>
          <w:numId w:val="33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v sídle </w:t>
      </w:r>
      <w:proofErr w:type="spellStart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ŽIVOTa</w:t>
      </w:r>
      <w:proofErr w:type="spellEnd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90, Karoliny Světlé 18, Praha 1; působnost: Česká republika:</w:t>
      </w:r>
    </w:p>
    <w:p w14:paraId="2C06EC18" w14:textId="77777777" w:rsidR="00CA4006" w:rsidRP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osobně,</w:t>
      </w:r>
    </w:p>
    <w:p w14:paraId="209C0D71" w14:textId="77777777" w:rsidR="00CA4006" w:rsidRP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telefonicky,</w:t>
      </w:r>
    </w:p>
    <w:p w14:paraId="045DA0E4" w14:textId="35221875" w:rsidR="00CA4006" w:rsidRDefault="00CA4006" w:rsidP="00CA4006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- písemně</w:t>
      </w:r>
      <w:r w:rsidR="00B76CAB">
        <w:rPr>
          <w:rFonts w:ascii="Campton Book" w:eastAsia="Times New Roman" w:hAnsi="Campton Book" w:cs="Times New Roman"/>
          <w:sz w:val="24"/>
          <w:szCs w:val="24"/>
          <w:lang w:eastAsia="cs-CZ"/>
        </w:rPr>
        <w:t>;</w:t>
      </w:r>
    </w:p>
    <w:p w14:paraId="70D99DBC" w14:textId="24AFC3AF" w:rsidR="007E4D54" w:rsidRPr="00CA4006" w:rsidRDefault="00CA4006" w:rsidP="00CC324E">
      <w:pPr>
        <w:pStyle w:val="Odstavecseseznamem"/>
        <w:numPr>
          <w:ilvl w:val="0"/>
          <w:numId w:val="33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terénní – působnost: hl. m. Praha.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7D3F9736" w14:textId="77777777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35AD5AA6" w14:textId="77777777" w:rsidR="00CA4006" w:rsidRDefault="00CA4006">
      <w:pPr>
        <w:spacing w:line="259" w:lineRule="auto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br w:type="page"/>
      </w:r>
    </w:p>
    <w:p w14:paraId="56724A50" w14:textId="77777777" w:rsidR="00CA4006" w:rsidRDefault="00CA400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1A66C9BF" w14:textId="567B622D" w:rsidR="00645CDB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5. </w:t>
      </w:r>
      <w:r w:rsidR="00CA4006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Doba poskytování služby</w:t>
      </w:r>
    </w:p>
    <w:p w14:paraId="04ABAC54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Sociální poradna:</w:t>
      </w:r>
    </w:p>
    <w:p w14:paraId="48FEB80E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PO: 9.00 – 12.00 h</w:t>
      </w:r>
    </w:p>
    <w:p w14:paraId="6EE7CAFF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poradna, objednání na tel. č. 222 333 555</w:t>
      </w:r>
    </w:p>
    <w:p w14:paraId="4D6397A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ÚT: 9.00 – 15.00 h</w:t>
      </w:r>
    </w:p>
    <w:p w14:paraId="00BD43ED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 bez objednání</w:t>
      </w:r>
    </w:p>
    <w:p w14:paraId="77E38A4D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ČT: 9.00 – 12.00 h</w:t>
      </w:r>
    </w:p>
    <w:p w14:paraId="040766DE" w14:textId="5A125C92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ambulantní poradna, objednání na tel. č. 222 333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555</w:t>
      </w:r>
    </w:p>
    <w:p w14:paraId="1AEC955C" w14:textId="77777777" w:rsidR="00CA4006" w:rsidRPr="00B36A65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B371475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Linka sociálně právního poradenství - 778 888 022</w:t>
      </w:r>
    </w:p>
    <w:p w14:paraId="7B1897F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 8-13</w:t>
      </w:r>
    </w:p>
    <w:p w14:paraId="798A6878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ÚT 9-15</w:t>
      </w:r>
    </w:p>
    <w:p w14:paraId="4DD6B51C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ST 9-15</w:t>
      </w:r>
    </w:p>
    <w:p w14:paraId="40EED434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 9-15</w:t>
      </w:r>
    </w:p>
    <w:p w14:paraId="4FE744D4" w14:textId="1DF6A693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PÁ 9-15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646FE00B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Právní poradna:</w:t>
      </w:r>
    </w:p>
    <w:p w14:paraId="32F2FACF" w14:textId="714B65D1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Vždy na objednání na tel. č. 222 333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555</w:t>
      </w:r>
    </w:p>
    <w:p w14:paraId="06D5DDD8" w14:textId="72C15CC7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PO: 12.30 – 14:00 h</w:t>
      </w:r>
    </w:p>
    <w:p w14:paraId="2E8CB7DC" w14:textId="7811171E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proofErr w:type="gramStart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ST: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9.00</w:t>
      </w:r>
      <w:proofErr w:type="gramEnd"/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– 12.00 h – každá druhá středa v měsíci</w:t>
      </w:r>
    </w:p>
    <w:p w14:paraId="67763289" w14:textId="4B224DF0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     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13.00 – 16.00 h</w:t>
      </w:r>
    </w:p>
    <w:p w14:paraId="3C7D93C7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ČT: 13.00 – 15.00 h</w:t>
      </w:r>
    </w:p>
    <w:p w14:paraId="2B8AC7B9" w14:textId="772DA7C9" w:rsidR="007E4D54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PÁ: 10.00 – 12.00 h – telefonické, písemné poradenství</w:t>
      </w:r>
    </w:p>
    <w:p w14:paraId="2D8AB864" w14:textId="77777777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10291E8" w14:textId="77777777" w:rsidR="00CA4006" w:rsidRP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Psychologické poradenství:</w:t>
      </w:r>
    </w:p>
    <w:p w14:paraId="7AA441E7" w14:textId="77777777" w:rsidR="00CA4006" w:rsidRP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Vždy na objednání na tel. č. 222 333 555</w:t>
      </w:r>
    </w:p>
    <w:p w14:paraId="10368FA8" w14:textId="41AB12A5" w:rsidR="00CA4006" w:rsidRDefault="00CA4006" w:rsidP="00CA4006">
      <w:pPr>
        <w:pStyle w:val="Odstavecseseznamem"/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Á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: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9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.00 – 12.00 h</w:t>
      </w:r>
    </w:p>
    <w:p w14:paraId="25FAD943" w14:textId="5481CFCF" w:rsidR="00CA4006" w:rsidRDefault="00CA4006" w:rsidP="00CA4006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130E120B" w14:textId="6B513DE7" w:rsidR="00CA4006" w:rsidRDefault="00CA4006" w:rsidP="00CA4006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6. </w:t>
      </w: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C</w:t>
      </w:r>
      <w:r w:rsidRPr="00CA4006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íle služby:</w:t>
      </w:r>
    </w:p>
    <w:p w14:paraId="26C0C28D" w14:textId="370E85F1" w:rsidR="00CA4006" w:rsidRDefault="00B76CAB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="00CA4006"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oskytovat informace týkající se životních událostí, jež jsou spjaty se specifiky cílové skupiny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bookmarkStart w:id="0" w:name="_GoBack"/>
      <w:bookmarkEnd w:id="0"/>
    </w:p>
    <w:p w14:paraId="419B9C79" w14:textId="24D1119D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napomáhat uživatelům v orientaci dostupných služeb a oprávněných nároků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a doprovázet je v jejich zprostředkování a uplatňování,</w:t>
      </w:r>
    </w:p>
    <w:p w14:paraId="039D698A" w14:textId="5C00B11B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motivovat uživatele k využití vlastních schopností a přirozené vztahové sítě,</w:t>
      </w:r>
    </w:p>
    <w:p w14:paraId="219731C0" w14:textId="53F28D94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poskytovat podporu uživatelům v případech, kdy je možné jejich setrvání v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přirozeném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domácím prostředí,</w:t>
      </w:r>
    </w:p>
    <w:p w14:paraId="1B2E43D4" w14:textId="2C6EDBD4" w:rsidR="00CA4006" w:rsidRDefault="00CA4006" w:rsidP="00CA4006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v souladu se zájmy uživatelů a s jejich souhlasem využívat k zajištění pomoci vnitřních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00CA4006">
        <w:rPr>
          <w:rFonts w:ascii="Campton Book" w:eastAsia="Times New Roman" w:hAnsi="Campton Book" w:cs="Times New Roman"/>
          <w:sz w:val="24"/>
          <w:szCs w:val="24"/>
          <w:lang w:eastAsia="cs-CZ"/>
        </w:rPr>
        <w:t>zdrojů organizace a spolupracovat s vnějšími dostupnými zdroji.</w:t>
      </w:r>
    </w:p>
    <w:p w14:paraId="33F42F5B" w14:textId="32488F55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4AF89B8" w14:textId="7D432983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149C8658" w14:textId="53DAAC45" w:rsidR="008D3D02" w:rsidRDefault="008D3D02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2D4E26C" w14:textId="2C8EDD4A" w:rsidR="00643993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7. Cíl pro rok 2020:</w:t>
      </w:r>
    </w:p>
    <w:p w14:paraId="177AF681" w14:textId="13318670" w:rsidR="00643993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růběžné vzdělávání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poradců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(během celého roku 2020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),</w:t>
      </w:r>
    </w:p>
    <w:p w14:paraId="634F79AB" w14:textId="6F211252" w:rsidR="00643993" w:rsidRPr="00B36A65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B36A65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upevňování a prohlubování znalostí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ze sociálně právní tématiky.</w:t>
      </w:r>
    </w:p>
    <w:p w14:paraId="0F4C07B1" w14:textId="0BEBA6DF" w:rsidR="00643993" w:rsidRPr="007E4D54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z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avedení chatu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sociálně právního poradenství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pro pečující a seniory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72CFC9CB" w14:textId="77777777" w:rsidR="00643993" w:rsidRDefault="00643993" w:rsidP="00643993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ynergické propojení marketingové spolupráce v rámci celého pilíře</w:t>
      </w:r>
    </w:p>
    <w:p w14:paraId="7FCC3765" w14:textId="42DECDC7" w:rsidR="00643993" w:rsidRPr="00643993" w:rsidRDefault="00643993" w:rsidP="00643993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Asistence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.</w:t>
      </w:r>
    </w:p>
    <w:p w14:paraId="41F4EF7D" w14:textId="77777777" w:rsidR="00643993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</w:p>
    <w:p w14:paraId="070FA5CB" w14:textId="3BFF0879" w:rsidR="008D3D02" w:rsidRDefault="00643993" w:rsidP="008D3D02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8</w:t>
      </w:r>
      <w:r w:rsidR="008D3D02" w:rsidRPr="008D3D02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. Principy</w:t>
      </w:r>
      <w:r w:rsidR="008D3D02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48D38678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odbornost,</w:t>
      </w:r>
    </w:p>
    <w:p w14:paraId="6DCA317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nezávislost,</w:t>
      </w:r>
    </w:p>
    <w:p w14:paraId="1B7C43BD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nestrannost,</w:t>
      </w:r>
    </w:p>
    <w:p w14:paraId="0CFB8190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bezpečnost,</w:t>
      </w:r>
    </w:p>
    <w:p w14:paraId="3312CA7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komplexnost,</w:t>
      </w:r>
    </w:p>
    <w:p w14:paraId="40A50579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dodržování práv uživatele,</w:t>
      </w:r>
    </w:p>
    <w:p w14:paraId="388E20F6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individuálních potřeb uživatele,</w:t>
      </w:r>
    </w:p>
    <w:p w14:paraId="50205DFC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přání a volby uživatele (včetně zachování anonymity),</w:t>
      </w:r>
    </w:p>
    <w:p w14:paraId="366EBCD8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zachování důstojnosti uživatele,</w:t>
      </w:r>
    </w:p>
    <w:p w14:paraId="4423A155" w14:textId="77777777" w:rsidR="00405147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zachování mlčenlivosti,</w:t>
      </w:r>
    </w:p>
    <w:p w14:paraId="7756AC06" w14:textId="036DCCE7" w:rsidR="008D3D02" w:rsidRDefault="008D3D02" w:rsidP="008D3D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t>bezplatnost.</w:t>
      </w:r>
      <w:r w:rsidRPr="00405147">
        <w:rPr>
          <w:rFonts w:ascii="Campton Book" w:eastAsia="Times New Roman" w:hAnsi="Campton Book" w:cs="Times New Roman"/>
          <w:sz w:val="24"/>
          <w:szCs w:val="24"/>
          <w:lang w:eastAsia="cs-CZ"/>
        </w:rPr>
        <w:cr/>
      </w:r>
    </w:p>
    <w:p w14:paraId="265A73C4" w14:textId="7941CFF7" w:rsid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6CD4258D" w14:textId="21B17581" w:rsid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43E833E1" w14:textId="6A36D594" w:rsidR="00643993" w:rsidRPr="00643993" w:rsidRDefault="00470FBA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FRANTIŠEK HORÁK</w:t>
      </w:r>
    </w:p>
    <w:p w14:paraId="3E1B05EC" w14:textId="365F44F4" w:rsidR="00643993" w:rsidRPr="00643993" w:rsidRDefault="00470FBA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vedoucí Poradenského centra</w:t>
      </w:r>
    </w:p>
    <w:p w14:paraId="2DBEF7A4" w14:textId="0CA5772F" w:rsidR="00643993" w:rsidRP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e-mail: </w:t>
      </w:r>
      <w:r w:rsidR="00470FBA">
        <w:rPr>
          <w:rFonts w:ascii="Campton Book" w:eastAsia="Times New Roman" w:hAnsi="Campton Book" w:cs="Times New Roman"/>
          <w:sz w:val="24"/>
          <w:szCs w:val="24"/>
          <w:lang w:eastAsia="cs-CZ"/>
        </w:rPr>
        <w:t>frantisek.horak</w:t>
      </w: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>@zivot90.cz</w:t>
      </w:r>
    </w:p>
    <w:p w14:paraId="2FF5A344" w14:textId="087F1316" w:rsidR="00643993" w:rsidRPr="00643993" w:rsidRDefault="00643993" w:rsidP="00643993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643993">
        <w:rPr>
          <w:rFonts w:ascii="Campton Book" w:eastAsia="Times New Roman" w:hAnsi="Campton Book" w:cs="Times New Roman"/>
          <w:sz w:val="24"/>
          <w:szCs w:val="24"/>
          <w:lang w:eastAsia="cs-CZ"/>
        </w:rPr>
        <w:t>telefon: 222 333 5</w:t>
      </w:r>
      <w:r w:rsidR="00470FBA">
        <w:rPr>
          <w:rFonts w:ascii="Campton Book" w:eastAsia="Times New Roman" w:hAnsi="Campton Book" w:cs="Times New Roman"/>
          <w:sz w:val="24"/>
          <w:szCs w:val="24"/>
          <w:lang w:eastAsia="cs-CZ"/>
        </w:rPr>
        <w:t>68</w:t>
      </w:r>
    </w:p>
    <w:sectPr w:rsidR="00643993" w:rsidRPr="00643993" w:rsidSect="008060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A6B5" w14:textId="77777777" w:rsidR="00C60006" w:rsidRDefault="00C60006" w:rsidP="00C9757E">
      <w:pPr>
        <w:spacing w:after="0" w:line="240" w:lineRule="auto"/>
      </w:pPr>
      <w:r>
        <w:separator/>
      </w:r>
    </w:p>
  </w:endnote>
  <w:endnote w:type="continuationSeparator" w:id="0">
    <w:p w14:paraId="0C59300D" w14:textId="77777777" w:rsidR="00C60006" w:rsidRDefault="00C60006" w:rsidP="00C9757E">
      <w:pPr>
        <w:spacing w:after="0" w:line="240" w:lineRule="auto"/>
      </w:pPr>
      <w:r>
        <w:continuationSeparator/>
      </w:r>
    </w:p>
  </w:endnote>
  <w:endnote w:type="continuationNotice" w:id="1">
    <w:p w14:paraId="76FFEE81" w14:textId="77777777" w:rsidR="00C60006" w:rsidRDefault="00C60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9763" w14:textId="77777777" w:rsidR="00C60006" w:rsidRDefault="00C60006" w:rsidP="00C9757E">
      <w:pPr>
        <w:spacing w:after="0" w:line="240" w:lineRule="auto"/>
      </w:pPr>
      <w:r>
        <w:separator/>
      </w:r>
    </w:p>
  </w:footnote>
  <w:footnote w:type="continuationSeparator" w:id="0">
    <w:p w14:paraId="503A7663" w14:textId="77777777" w:rsidR="00C60006" w:rsidRDefault="00C60006" w:rsidP="00C9757E">
      <w:pPr>
        <w:spacing w:after="0" w:line="240" w:lineRule="auto"/>
      </w:pPr>
      <w:r>
        <w:continuationSeparator/>
      </w:r>
    </w:p>
  </w:footnote>
  <w:footnote w:type="continuationNotice" w:id="1">
    <w:p w14:paraId="443B46D9" w14:textId="77777777" w:rsidR="00C60006" w:rsidRDefault="00C600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1D93CAF2" w:rsidR="00C9757E" w:rsidRDefault="00783F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4CCCB" wp14:editId="16EE8A0F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1611630" cy="581025"/>
          <wp:effectExtent l="0" t="0" r="7620" b="9525"/>
          <wp:wrapTight wrapText="bothSides">
            <wp:wrapPolygon edited="0">
              <wp:start x="255" y="0"/>
              <wp:lineTo x="0" y="2125"/>
              <wp:lineTo x="0" y="21246"/>
              <wp:lineTo x="19149" y="21246"/>
              <wp:lineTo x="18128" y="11331"/>
              <wp:lineTo x="21447" y="6374"/>
              <wp:lineTo x="21447" y="1416"/>
              <wp:lineTo x="3064" y="0"/>
              <wp:lineTo x="255" y="0"/>
            </wp:wrapPolygon>
          </wp:wrapTight>
          <wp:docPr id="2" name="Obrázek 2" descr="Zivot90_logo_claim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ot90_logo_claim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9E253" w14:textId="77777777" w:rsidR="00C9757E" w:rsidRDefault="00C97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6E6"/>
    <w:multiLevelType w:val="hybridMultilevel"/>
    <w:tmpl w:val="93D02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30"/>
    <w:multiLevelType w:val="hybridMultilevel"/>
    <w:tmpl w:val="8138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7A"/>
    <w:multiLevelType w:val="hybridMultilevel"/>
    <w:tmpl w:val="B0D0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D44"/>
    <w:multiLevelType w:val="multilevel"/>
    <w:tmpl w:val="92E6F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5921"/>
    <w:multiLevelType w:val="hybridMultilevel"/>
    <w:tmpl w:val="2630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63C"/>
    <w:multiLevelType w:val="hybridMultilevel"/>
    <w:tmpl w:val="A4EC985A"/>
    <w:lvl w:ilvl="0" w:tplc="80F4A1DA">
      <w:start w:val="1"/>
      <w:numFmt w:val="bullet"/>
      <w:lvlText w:val=""/>
      <w:lvlJc w:val="left"/>
      <w:pPr>
        <w:tabs>
          <w:tab w:val="num" w:pos="1077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1577B3C"/>
    <w:multiLevelType w:val="multilevel"/>
    <w:tmpl w:val="1490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66094"/>
    <w:multiLevelType w:val="hybridMultilevel"/>
    <w:tmpl w:val="02E436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8B3"/>
    <w:multiLevelType w:val="hybridMultilevel"/>
    <w:tmpl w:val="27542A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4FFB"/>
    <w:multiLevelType w:val="hybridMultilevel"/>
    <w:tmpl w:val="3DF40F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7263A"/>
    <w:multiLevelType w:val="hybridMultilevel"/>
    <w:tmpl w:val="82FA46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4507"/>
    <w:multiLevelType w:val="hybridMultilevel"/>
    <w:tmpl w:val="CAFE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4AB7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208FE"/>
    <w:multiLevelType w:val="hybridMultilevel"/>
    <w:tmpl w:val="55F64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343C7"/>
    <w:multiLevelType w:val="hybridMultilevel"/>
    <w:tmpl w:val="08C244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318F"/>
    <w:multiLevelType w:val="hybridMultilevel"/>
    <w:tmpl w:val="0C0229F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2412504"/>
    <w:multiLevelType w:val="hybridMultilevel"/>
    <w:tmpl w:val="B12A4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75E1C"/>
    <w:multiLevelType w:val="hybridMultilevel"/>
    <w:tmpl w:val="696A7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F98"/>
    <w:multiLevelType w:val="hybridMultilevel"/>
    <w:tmpl w:val="5E3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4E7B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B0D24"/>
    <w:multiLevelType w:val="hybridMultilevel"/>
    <w:tmpl w:val="85F0C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339F"/>
    <w:multiLevelType w:val="hybridMultilevel"/>
    <w:tmpl w:val="2904F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7A84"/>
    <w:multiLevelType w:val="hybridMultilevel"/>
    <w:tmpl w:val="FA5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C7800"/>
    <w:multiLevelType w:val="hybridMultilevel"/>
    <w:tmpl w:val="B600D7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572AF"/>
    <w:multiLevelType w:val="hybridMultilevel"/>
    <w:tmpl w:val="E3BC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00E7"/>
    <w:multiLevelType w:val="hybridMultilevel"/>
    <w:tmpl w:val="ACEE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25C3"/>
    <w:multiLevelType w:val="hybridMultilevel"/>
    <w:tmpl w:val="E65AC77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18424E"/>
    <w:multiLevelType w:val="hybridMultilevel"/>
    <w:tmpl w:val="D4E4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226"/>
    <w:multiLevelType w:val="hybridMultilevel"/>
    <w:tmpl w:val="823A4A7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004D"/>
    <w:multiLevelType w:val="hybridMultilevel"/>
    <w:tmpl w:val="4CE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C697E"/>
    <w:multiLevelType w:val="hybridMultilevel"/>
    <w:tmpl w:val="9A78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C4F2E"/>
    <w:multiLevelType w:val="hybridMultilevel"/>
    <w:tmpl w:val="D78A805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30121"/>
    <w:multiLevelType w:val="hybridMultilevel"/>
    <w:tmpl w:val="F2E0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7"/>
  </w:num>
  <w:num w:numId="5">
    <w:abstractNumId w:val="11"/>
  </w:num>
  <w:num w:numId="6">
    <w:abstractNumId w:val="31"/>
  </w:num>
  <w:num w:numId="7">
    <w:abstractNumId w:val="26"/>
  </w:num>
  <w:num w:numId="8">
    <w:abstractNumId w:val="6"/>
  </w:num>
  <w:num w:numId="9">
    <w:abstractNumId w:val="13"/>
  </w:num>
  <w:num w:numId="10">
    <w:abstractNumId w:val="18"/>
  </w:num>
  <w:num w:numId="11">
    <w:abstractNumId w:val="24"/>
  </w:num>
  <w:num w:numId="12">
    <w:abstractNumId w:val="2"/>
  </w:num>
  <w:num w:numId="13">
    <w:abstractNumId w:val="20"/>
  </w:num>
  <w:num w:numId="14">
    <w:abstractNumId w:val="25"/>
  </w:num>
  <w:num w:numId="15">
    <w:abstractNumId w:val="30"/>
  </w:num>
  <w:num w:numId="16">
    <w:abstractNumId w:val="29"/>
  </w:num>
  <w:num w:numId="17">
    <w:abstractNumId w:val="22"/>
  </w:num>
  <w:num w:numId="18">
    <w:abstractNumId w:val="17"/>
  </w:num>
  <w:num w:numId="19">
    <w:abstractNumId w:val="16"/>
  </w:num>
  <w:num w:numId="20">
    <w:abstractNumId w:val="5"/>
  </w:num>
  <w:num w:numId="21">
    <w:abstractNumId w:val="5"/>
  </w:num>
  <w:num w:numId="22">
    <w:abstractNumId w:val="9"/>
  </w:num>
  <w:num w:numId="23">
    <w:abstractNumId w:val="32"/>
  </w:num>
  <w:num w:numId="24">
    <w:abstractNumId w:val="14"/>
  </w:num>
  <w:num w:numId="25">
    <w:abstractNumId w:val="10"/>
  </w:num>
  <w:num w:numId="26">
    <w:abstractNumId w:val="12"/>
  </w:num>
  <w:num w:numId="27">
    <w:abstractNumId w:val="19"/>
  </w:num>
  <w:num w:numId="28">
    <w:abstractNumId w:val="3"/>
  </w:num>
  <w:num w:numId="29">
    <w:abstractNumId w:val="15"/>
  </w:num>
  <w:num w:numId="30">
    <w:abstractNumId w:val="21"/>
  </w:num>
  <w:num w:numId="31">
    <w:abstractNumId w:val="23"/>
  </w:num>
  <w:num w:numId="32">
    <w:abstractNumId w:val="28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53372"/>
    <w:rsid w:val="000677FC"/>
    <w:rsid w:val="00074FE8"/>
    <w:rsid w:val="000773CF"/>
    <w:rsid w:val="00090586"/>
    <w:rsid w:val="0009528C"/>
    <w:rsid w:val="00097551"/>
    <w:rsid w:val="000A0047"/>
    <w:rsid w:val="000A1183"/>
    <w:rsid w:val="000B0B40"/>
    <w:rsid w:val="000C2F99"/>
    <w:rsid w:val="000C40D1"/>
    <w:rsid w:val="000E1D3F"/>
    <w:rsid w:val="000F3781"/>
    <w:rsid w:val="000F66C9"/>
    <w:rsid w:val="00103BC0"/>
    <w:rsid w:val="00111622"/>
    <w:rsid w:val="00124A60"/>
    <w:rsid w:val="00131B68"/>
    <w:rsid w:val="001328F8"/>
    <w:rsid w:val="00135A56"/>
    <w:rsid w:val="001434E7"/>
    <w:rsid w:val="0014453C"/>
    <w:rsid w:val="00144C86"/>
    <w:rsid w:val="00155906"/>
    <w:rsid w:val="00174E07"/>
    <w:rsid w:val="00176A2B"/>
    <w:rsid w:val="00181301"/>
    <w:rsid w:val="00187A0C"/>
    <w:rsid w:val="001B0BDC"/>
    <w:rsid w:val="001D22A5"/>
    <w:rsid w:val="001D76C0"/>
    <w:rsid w:val="001E47F6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556F8"/>
    <w:rsid w:val="00260FEE"/>
    <w:rsid w:val="00263C98"/>
    <w:rsid w:val="00266F6B"/>
    <w:rsid w:val="00286729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E2C1D"/>
    <w:rsid w:val="0031540A"/>
    <w:rsid w:val="00320696"/>
    <w:rsid w:val="003214C7"/>
    <w:rsid w:val="0032366B"/>
    <w:rsid w:val="00327B14"/>
    <w:rsid w:val="003306E9"/>
    <w:rsid w:val="0033472A"/>
    <w:rsid w:val="00337469"/>
    <w:rsid w:val="00337A3E"/>
    <w:rsid w:val="003442F1"/>
    <w:rsid w:val="00351B22"/>
    <w:rsid w:val="0036309C"/>
    <w:rsid w:val="00376525"/>
    <w:rsid w:val="003A05D4"/>
    <w:rsid w:val="003B4712"/>
    <w:rsid w:val="003B5F30"/>
    <w:rsid w:val="003D19E0"/>
    <w:rsid w:val="003D7786"/>
    <w:rsid w:val="003F3E88"/>
    <w:rsid w:val="00405147"/>
    <w:rsid w:val="00405E67"/>
    <w:rsid w:val="00411233"/>
    <w:rsid w:val="00421141"/>
    <w:rsid w:val="00426898"/>
    <w:rsid w:val="00434B51"/>
    <w:rsid w:val="00435FFA"/>
    <w:rsid w:val="00444376"/>
    <w:rsid w:val="00454F89"/>
    <w:rsid w:val="00457D72"/>
    <w:rsid w:val="004632C5"/>
    <w:rsid w:val="00470FBA"/>
    <w:rsid w:val="004809BB"/>
    <w:rsid w:val="00485DC5"/>
    <w:rsid w:val="0049240F"/>
    <w:rsid w:val="00493BA1"/>
    <w:rsid w:val="004A4F41"/>
    <w:rsid w:val="004B0AD3"/>
    <w:rsid w:val="004C4469"/>
    <w:rsid w:val="004D0775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22647"/>
    <w:rsid w:val="005701F6"/>
    <w:rsid w:val="00573427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43993"/>
    <w:rsid w:val="00645CDB"/>
    <w:rsid w:val="00650DCB"/>
    <w:rsid w:val="00652723"/>
    <w:rsid w:val="006544A0"/>
    <w:rsid w:val="00670BB0"/>
    <w:rsid w:val="006774E7"/>
    <w:rsid w:val="00677E21"/>
    <w:rsid w:val="0069042B"/>
    <w:rsid w:val="00697A37"/>
    <w:rsid w:val="006B1E90"/>
    <w:rsid w:val="006B5C5E"/>
    <w:rsid w:val="006C6A1C"/>
    <w:rsid w:val="006C7FD9"/>
    <w:rsid w:val="006D78C3"/>
    <w:rsid w:val="006F35B2"/>
    <w:rsid w:val="006F7737"/>
    <w:rsid w:val="00701C70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679F9"/>
    <w:rsid w:val="00783FEC"/>
    <w:rsid w:val="007878E3"/>
    <w:rsid w:val="00792AC4"/>
    <w:rsid w:val="007B0488"/>
    <w:rsid w:val="007C0C6D"/>
    <w:rsid w:val="007E4D54"/>
    <w:rsid w:val="0080225C"/>
    <w:rsid w:val="00804B82"/>
    <w:rsid w:val="008060A7"/>
    <w:rsid w:val="00812211"/>
    <w:rsid w:val="008151BD"/>
    <w:rsid w:val="00830139"/>
    <w:rsid w:val="0083418C"/>
    <w:rsid w:val="00836A9D"/>
    <w:rsid w:val="0086117B"/>
    <w:rsid w:val="00876DED"/>
    <w:rsid w:val="00890E94"/>
    <w:rsid w:val="0089326A"/>
    <w:rsid w:val="008A1C1B"/>
    <w:rsid w:val="008C60AA"/>
    <w:rsid w:val="008D3D02"/>
    <w:rsid w:val="008D6466"/>
    <w:rsid w:val="008E0742"/>
    <w:rsid w:val="008E18C7"/>
    <w:rsid w:val="008E78FD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973"/>
    <w:rsid w:val="0094368F"/>
    <w:rsid w:val="00951C34"/>
    <w:rsid w:val="00957537"/>
    <w:rsid w:val="0096738C"/>
    <w:rsid w:val="009746B1"/>
    <w:rsid w:val="00974753"/>
    <w:rsid w:val="00975075"/>
    <w:rsid w:val="00975B1C"/>
    <w:rsid w:val="00992DA0"/>
    <w:rsid w:val="00993A56"/>
    <w:rsid w:val="009B0E65"/>
    <w:rsid w:val="009B13BB"/>
    <w:rsid w:val="009B72E1"/>
    <w:rsid w:val="009D4266"/>
    <w:rsid w:val="009D7CD3"/>
    <w:rsid w:val="009E6A36"/>
    <w:rsid w:val="009F6820"/>
    <w:rsid w:val="00A0111E"/>
    <w:rsid w:val="00A05DB3"/>
    <w:rsid w:val="00A12215"/>
    <w:rsid w:val="00A17AB0"/>
    <w:rsid w:val="00A463D4"/>
    <w:rsid w:val="00A50695"/>
    <w:rsid w:val="00A55C6C"/>
    <w:rsid w:val="00A647DC"/>
    <w:rsid w:val="00A76305"/>
    <w:rsid w:val="00A76CE2"/>
    <w:rsid w:val="00A91E07"/>
    <w:rsid w:val="00A9244C"/>
    <w:rsid w:val="00A95B36"/>
    <w:rsid w:val="00AA6CFA"/>
    <w:rsid w:val="00AB6809"/>
    <w:rsid w:val="00AB7C17"/>
    <w:rsid w:val="00AC7225"/>
    <w:rsid w:val="00AD3011"/>
    <w:rsid w:val="00B000C2"/>
    <w:rsid w:val="00B02BF0"/>
    <w:rsid w:val="00B2150D"/>
    <w:rsid w:val="00B23A58"/>
    <w:rsid w:val="00B32E5E"/>
    <w:rsid w:val="00B36A65"/>
    <w:rsid w:val="00B435D9"/>
    <w:rsid w:val="00B451B8"/>
    <w:rsid w:val="00B53C85"/>
    <w:rsid w:val="00B56F9B"/>
    <w:rsid w:val="00B63348"/>
    <w:rsid w:val="00B76CAB"/>
    <w:rsid w:val="00B80007"/>
    <w:rsid w:val="00B964E5"/>
    <w:rsid w:val="00BB4543"/>
    <w:rsid w:val="00BC31B5"/>
    <w:rsid w:val="00BC7543"/>
    <w:rsid w:val="00BD5AE8"/>
    <w:rsid w:val="00BE0D26"/>
    <w:rsid w:val="00BF258B"/>
    <w:rsid w:val="00BF75A4"/>
    <w:rsid w:val="00C24542"/>
    <w:rsid w:val="00C31B38"/>
    <w:rsid w:val="00C3472A"/>
    <w:rsid w:val="00C511A0"/>
    <w:rsid w:val="00C537D6"/>
    <w:rsid w:val="00C5380C"/>
    <w:rsid w:val="00C60006"/>
    <w:rsid w:val="00C619E0"/>
    <w:rsid w:val="00C64972"/>
    <w:rsid w:val="00C761DD"/>
    <w:rsid w:val="00C774EB"/>
    <w:rsid w:val="00C863B2"/>
    <w:rsid w:val="00C953A4"/>
    <w:rsid w:val="00C97181"/>
    <w:rsid w:val="00C9757E"/>
    <w:rsid w:val="00CA068F"/>
    <w:rsid w:val="00CA4006"/>
    <w:rsid w:val="00CC2B5B"/>
    <w:rsid w:val="00CC324E"/>
    <w:rsid w:val="00CC5300"/>
    <w:rsid w:val="00CD4104"/>
    <w:rsid w:val="00D0225C"/>
    <w:rsid w:val="00D114A7"/>
    <w:rsid w:val="00D16300"/>
    <w:rsid w:val="00D46BAA"/>
    <w:rsid w:val="00D53485"/>
    <w:rsid w:val="00D55312"/>
    <w:rsid w:val="00D65345"/>
    <w:rsid w:val="00D75CA8"/>
    <w:rsid w:val="00D8251D"/>
    <w:rsid w:val="00D93D97"/>
    <w:rsid w:val="00D961A0"/>
    <w:rsid w:val="00DA3AB3"/>
    <w:rsid w:val="00DB3A7C"/>
    <w:rsid w:val="00DC473B"/>
    <w:rsid w:val="00DC5817"/>
    <w:rsid w:val="00DD28E7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6520D"/>
    <w:rsid w:val="00E75AAD"/>
    <w:rsid w:val="00E76DE8"/>
    <w:rsid w:val="00E84040"/>
    <w:rsid w:val="00E844B9"/>
    <w:rsid w:val="00E907D3"/>
    <w:rsid w:val="00E90939"/>
    <w:rsid w:val="00EC46BD"/>
    <w:rsid w:val="00EC5191"/>
    <w:rsid w:val="00EE05CE"/>
    <w:rsid w:val="00EE4785"/>
    <w:rsid w:val="00F11101"/>
    <w:rsid w:val="00F12DE7"/>
    <w:rsid w:val="00F2503A"/>
    <w:rsid w:val="00F27697"/>
    <w:rsid w:val="00F42B70"/>
    <w:rsid w:val="00F50AFB"/>
    <w:rsid w:val="00F64BE2"/>
    <w:rsid w:val="00F8318F"/>
    <w:rsid w:val="00F860EE"/>
    <w:rsid w:val="00FA18F9"/>
    <w:rsid w:val="00FA33A5"/>
    <w:rsid w:val="00FB579B"/>
    <w:rsid w:val="00FB75A4"/>
    <w:rsid w:val="00FC0BD4"/>
    <w:rsid w:val="00FE004F"/>
    <w:rsid w:val="00FE18DB"/>
    <w:rsid w:val="00FE4111"/>
    <w:rsid w:val="00FF197A"/>
    <w:rsid w:val="5D2F8F70"/>
    <w:rsid w:val="690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43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17B3E68C79641AFF2FDFF13AD1B0B" ma:contentTypeVersion="8" ma:contentTypeDescription="Vytvoří nový dokument" ma:contentTypeScope="" ma:versionID="8a2e1e69e2c72b228754286551d88988">
  <xsd:schema xmlns:xsd="http://www.w3.org/2001/XMLSchema" xmlns:xs="http://www.w3.org/2001/XMLSchema" xmlns:p="http://schemas.microsoft.com/office/2006/metadata/properties" xmlns:ns2="9611746c-5395-473a-9df6-ac30f07f16cf" targetNamespace="http://schemas.microsoft.com/office/2006/metadata/properties" ma:root="true" ma:fieldsID="34d92f0ba00f9153ee13a91b35253901" ns2:_="">
    <xsd:import namespace="9611746c-5395-473a-9df6-ac30f07f1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746c-5395-473a-9df6-ac30f07f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93843-8D55-4F90-A153-03C331D4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746c-5395-473a-9df6-ac30f07f1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26FCF-6E67-488F-A058-E783C48E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Aneta Šebková</cp:lastModifiedBy>
  <cp:revision>7</cp:revision>
  <cp:lastPrinted>2019-10-31T10:13:00Z</cp:lastPrinted>
  <dcterms:created xsi:type="dcterms:W3CDTF">2020-01-27T11:36:00Z</dcterms:created>
  <dcterms:modified xsi:type="dcterms:W3CDTF">2020-02-11T07:52:00Z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0x01010067617B3E68C79641AFF2FDFF13AD1B0B</vt:lpwstr>
  </property>
</Properties>
</file>