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90A5E" w14:textId="77777777" w:rsidR="006D0914" w:rsidRDefault="006D0914" w:rsidP="006D09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Doc. PhDr. Ludmila Čírtková, CSc., Dr. h. c. </w:t>
      </w:r>
    </w:p>
    <w:p w14:paraId="4D8F9C8D" w14:textId="77777777" w:rsidR="006D0914" w:rsidRDefault="006D0914" w:rsidP="009D5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2A62A1" wp14:editId="0416B394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2070100" cy="2988945"/>
            <wp:effectExtent l="0" t="0" r="6350" b="1905"/>
            <wp:wrapTight wrapText="bothSides">
              <wp:wrapPolygon edited="0">
                <wp:start x="0" y="0"/>
                <wp:lineTo x="0" y="21476"/>
                <wp:lineTo x="21467" y="21476"/>
                <wp:lineTo x="214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Forenzní psycholožka, akademická pracovnice, soudní znalkyně</w:t>
      </w:r>
    </w:p>
    <w:p w14:paraId="1975B65A" w14:textId="77777777" w:rsidR="006D0914" w:rsidRDefault="006D0914" w:rsidP="009D5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3E1481A" w14:textId="77777777" w:rsidR="006D0914" w:rsidRDefault="006D0914" w:rsidP="009D5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Jako forenzní psycholožka spolupracuje na objasňování a vyšetřování závažné trestné činnosti. Externě přednáší forenzní psychologii na Právnické fakultě UK. Je akademickou pracovnicí Fakulty biomedicínského inženýrství ČVUT, kde se zaměřuje na otázky radikalizace a extrémního násilí. Do loňského roku působila jako prorektorka Policejní akademie ČR v Praze. Dlouhodobě se věnuje problematice domácího násilí a viktimologii.  </w:t>
      </w:r>
    </w:p>
    <w:p w14:paraId="0497EA23" w14:textId="77777777" w:rsidR="006D0914" w:rsidRDefault="006D0914" w:rsidP="009D5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svém volnu pracuje v rámci dobrovolnictví v Bílém kruhu bezpečí, který pomáhá obětem trestných činů. Jako psycholog působí v poradně pro oběti trestných činů. Vydala několik knih, poslední se jmenuje Viktimologie pro forenzní praxi. </w:t>
      </w:r>
    </w:p>
    <w:p w14:paraId="52FDE847" w14:textId="77777777" w:rsidR="006D0914" w:rsidRDefault="006D0914" w:rsidP="009D5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Absolvovala jednooborovou psychologii na Filozofické fakultě UK.</w:t>
      </w:r>
    </w:p>
    <w:p w14:paraId="71C4C208" w14:textId="77777777" w:rsidR="006D0914" w:rsidRDefault="006D0914" w:rsidP="009D590B">
      <w:pPr>
        <w:jc w:val="both"/>
      </w:pPr>
    </w:p>
    <w:p w14:paraId="2454AFBC" w14:textId="77777777" w:rsidR="00E93047" w:rsidRPr="00E93047" w:rsidRDefault="00E93047" w:rsidP="009D5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Pr="00E93047">
        <w:rPr>
          <w:rFonts w:ascii="Times New Roman" w:hAnsi="Times New Roman" w:cs="Times New Roman"/>
          <w:b/>
          <w:sz w:val="24"/>
          <w:szCs w:val="24"/>
        </w:rPr>
        <w:t>Typologie oběti a pachatele</w:t>
      </w:r>
    </w:p>
    <w:p w14:paraId="5FE67877" w14:textId="77777777" w:rsidR="006D0914" w:rsidRDefault="006D0914" w:rsidP="009D5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Příspěvek nabídne vhled do současných přístupů k typologiím. Jaký praktický význam mají typologie pachatelů a obětí pro prevenci EAN? Na tuto otázku hledá autorka odpověď. Zaměří se zejména na „</w:t>
      </w:r>
      <w:proofErr w:type="spellStart"/>
      <w:r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Abuse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Neglect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“. Varieta profilů pachatelů z řad blízkých osob bude ilustrována na dvou domácích případech. Různorodost psychologických profilů pachatelů a také rozmanitost podob EAN klade značné nároky na detekci a včasnou intervenci případů EAN. Mnohé rizikové faktory nejsou totiž včas viditelné. Prolomit skrytost tohoto negativního jevu je prvním krůčkem k jeho prevenci anebo kontrole. Do budoucna je nutné zlepšit informovanost veřejnosti, ale také dostupnost pomoci pro oběti. </w:t>
      </w:r>
    </w:p>
    <w:p w14:paraId="27A85DC6" w14:textId="77777777" w:rsidR="006D0914" w:rsidRDefault="006D0914" w:rsidP="009D590B">
      <w:pPr>
        <w:jc w:val="both"/>
      </w:pPr>
    </w:p>
    <w:p w14:paraId="01224808" w14:textId="77777777" w:rsidR="006D0914" w:rsidRDefault="006D0914" w:rsidP="009D590B">
      <w:pPr>
        <w:jc w:val="both"/>
      </w:pPr>
    </w:p>
    <w:p w14:paraId="1B31F8E1" w14:textId="77777777" w:rsidR="006D0914" w:rsidRDefault="006D0914" w:rsidP="009D590B">
      <w:pPr>
        <w:jc w:val="both"/>
      </w:pPr>
    </w:p>
    <w:p w14:paraId="67259C64" w14:textId="77777777" w:rsidR="006D0914" w:rsidRDefault="006D0914" w:rsidP="009D590B">
      <w:pPr>
        <w:jc w:val="both"/>
      </w:pPr>
    </w:p>
    <w:p w14:paraId="28ED86B4" w14:textId="77777777" w:rsidR="006D0914" w:rsidRDefault="006D0914" w:rsidP="009D590B">
      <w:pPr>
        <w:jc w:val="both"/>
      </w:pPr>
    </w:p>
    <w:p w14:paraId="3B55656F" w14:textId="77777777" w:rsidR="006D0914" w:rsidRDefault="006D0914" w:rsidP="009D590B">
      <w:pPr>
        <w:jc w:val="both"/>
      </w:pPr>
    </w:p>
    <w:p w14:paraId="56211616" w14:textId="77777777" w:rsidR="006D0914" w:rsidRDefault="006D0914" w:rsidP="009D590B">
      <w:pPr>
        <w:jc w:val="both"/>
      </w:pPr>
    </w:p>
    <w:p w14:paraId="4E591DC3" w14:textId="77777777" w:rsidR="006D0914" w:rsidRDefault="006D0914" w:rsidP="009D590B">
      <w:pPr>
        <w:jc w:val="both"/>
      </w:pPr>
    </w:p>
    <w:p w14:paraId="4BD79E87" w14:textId="77777777" w:rsidR="006D0914" w:rsidRDefault="006D0914" w:rsidP="009D590B">
      <w:pPr>
        <w:jc w:val="both"/>
      </w:pPr>
    </w:p>
    <w:p w14:paraId="29E96EF8" w14:textId="77777777" w:rsidR="00527526" w:rsidRPr="00E93047" w:rsidRDefault="00527526" w:rsidP="009D590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33127814"/>
      <w:r w:rsidRPr="00E930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F3D641" wp14:editId="266F833C">
            <wp:simplePos x="0" y="0"/>
            <wp:positionH relativeFrom="column">
              <wp:posOffset>-220345</wp:posOffset>
            </wp:positionH>
            <wp:positionV relativeFrom="paragraph">
              <wp:posOffset>281305</wp:posOffset>
            </wp:positionV>
            <wp:extent cx="2723515" cy="3375025"/>
            <wp:effectExtent l="0" t="0" r="635" b="0"/>
            <wp:wrapTight wrapText="bothSides">
              <wp:wrapPolygon edited="0">
                <wp:start x="0" y="0"/>
                <wp:lineTo x="0" y="21458"/>
                <wp:lineTo x="21454" y="21458"/>
                <wp:lineTo x="2145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047">
        <w:rPr>
          <w:rFonts w:ascii="Times New Roman" w:hAnsi="Times New Roman" w:cs="Times New Roman"/>
          <w:b/>
          <w:sz w:val="28"/>
          <w:szCs w:val="28"/>
        </w:rPr>
        <w:t>MUDr. I. Divácká, MBA</w:t>
      </w:r>
    </w:p>
    <w:bookmarkEnd w:id="0"/>
    <w:p w14:paraId="7B52F655" w14:textId="77777777" w:rsidR="00E500C9" w:rsidRPr="00E93047" w:rsidRDefault="00E500C9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MUDr. Ilona Divácká, MBA vystudovala 3. Lékařskou fakultu UK, obor všeobecné a preventivní lékařství.  Má atestaci v oboru psychiatrie I. st. (1999), II.st. (2001), funkční specializaci v systematické psychoterapii (2003) a odbornou způsobilost v oboru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gerontopsychiatrie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(2011). V r. 2002 ukončila studia MBA. Od r. 2004 provozuje psychiatrickou ordinaci se zaměřením na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gerontopsychiatrické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pacienty. 2004-2015 působila jako konziliární psychiatr v Domově pro seniory v Praze 10 - Malešicích. Od r. 2016 je znalcem v oboru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gerontopsychiatrie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. Kontaktní údaje: Psychiatrická ambulance, Praha 10.</w:t>
      </w:r>
    </w:p>
    <w:p w14:paraId="38C11DB4" w14:textId="77777777" w:rsidR="00527526" w:rsidRPr="00E93047" w:rsidRDefault="00E93047" w:rsidP="009D5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="00527526" w:rsidRPr="00E93047">
        <w:rPr>
          <w:rFonts w:ascii="Times New Roman" w:hAnsi="Times New Roman" w:cs="Times New Roman"/>
          <w:b/>
          <w:sz w:val="24"/>
          <w:szCs w:val="24"/>
        </w:rPr>
        <w:t>Deprese a změny nálad vedoucí k sebevražednému jednání u starších osob.</w:t>
      </w:r>
    </w:p>
    <w:p w14:paraId="639D61EC" w14:textId="77777777" w:rsidR="00527526" w:rsidRPr="00E93047" w:rsidRDefault="0052752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Sebevražedné jednání u starších osob se v mnohém liší od sebevraždy v mladším věku. Přednáška je zaměřená na depresivní poruchu a její specifika u seniorů a organickou depresivní poruchu, faktory podporující rozvoj deprese a léčbu deprese. Dále se zabývá prevalencí sebevražd u seniorů, rizikovými faktory sebevražd, varovnými příznaky, vztahem mezi somatickými chorobami a sebevraždou, pojmem pasivní sebevražda. Přináší doporučení pro primární péči.</w:t>
      </w:r>
    </w:p>
    <w:p w14:paraId="27C28B47" w14:textId="77777777" w:rsidR="00527526" w:rsidRPr="00E93047" w:rsidRDefault="0052752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Klíčová slova: sebevražedné chování – </w:t>
      </w:r>
      <w:proofErr w:type="gram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sebevražda - stáří</w:t>
      </w:r>
      <w:proofErr w:type="gramEnd"/>
    </w:p>
    <w:p w14:paraId="6D65F5E3" w14:textId="77777777" w:rsidR="0005335B" w:rsidRDefault="0005335B" w:rsidP="009D590B">
      <w:pPr>
        <w:jc w:val="both"/>
      </w:pPr>
    </w:p>
    <w:p w14:paraId="7B96F029" w14:textId="77777777" w:rsidR="00527526" w:rsidRDefault="00527526" w:rsidP="009D590B">
      <w:pPr>
        <w:jc w:val="both"/>
      </w:pPr>
      <w:bookmarkStart w:id="1" w:name="_Hlk33127770"/>
    </w:p>
    <w:bookmarkEnd w:id="1"/>
    <w:p w14:paraId="688847E8" w14:textId="77777777" w:rsidR="006D0914" w:rsidRDefault="006D0914" w:rsidP="009D590B">
      <w:pPr>
        <w:jc w:val="both"/>
      </w:pPr>
    </w:p>
    <w:p w14:paraId="4F3B8897" w14:textId="77777777" w:rsidR="006D0914" w:rsidRDefault="006D0914" w:rsidP="009D590B">
      <w:pPr>
        <w:jc w:val="both"/>
        <w:rPr>
          <w:rFonts w:ascii="Times New Roman" w:hAnsi="Times New Roman" w:cs="Times New Roman"/>
        </w:rPr>
      </w:pPr>
    </w:p>
    <w:p w14:paraId="39F3E59E" w14:textId="77777777" w:rsidR="00137AD4" w:rsidRPr="00E93047" w:rsidRDefault="00137AD4" w:rsidP="009D590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32999397"/>
      <w:r w:rsidRPr="00E9304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1F0A65F2" wp14:editId="6CF5C3E3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2361600" cy="3466800"/>
            <wp:effectExtent l="0" t="0" r="635" b="635"/>
            <wp:wrapTight wrapText="bothSides">
              <wp:wrapPolygon edited="0">
                <wp:start x="0" y="0"/>
                <wp:lineTo x="0" y="21485"/>
                <wp:lineTo x="21432" y="21485"/>
                <wp:lineTo x="2143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047">
        <w:rPr>
          <w:rFonts w:ascii="Times New Roman" w:hAnsi="Times New Roman" w:cs="Times New Roman"/>
          <w:b/>
          <w:sz w:val="28"/>
          <w:szCs w:val="28"/>
        </w:rPr>
        <w:t xml:space="preserve">MgA. </w:t>
      </w:r>
      <w:r w:rsidRPr="00E93047">
        <w:rPr>
          <w:rFonts w:ascii="Times New Roman" w:hAnsi="Times New Roman" w:cs="Times New Roman"/>
          <w:b/>
          <w:sz w:val="28"/>
          <w:szCs w:val="28"/>
        </w:rPr>
        <w:t>Jan Lorman</w:t>
      </w:r>
    </w:p>
    <w:p w14:paraId="5CBCB34A" w14:textId="77777777" w:rsidR="00137AD4" w:rsidRDefault="00137AD4" w:rsidP="009D590B">
      <w:pPr>
        <w:jc w:val="both"/>
        <w:rPr>
          <w:rFonts w:ascii="Times New Roman" w:hAnsi="Times New Roman" w:cs="Times New Roman"/>
          <w:sz w:val="24"/>
          <w:szCs w:val="24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MgA. Jan Lorman je zakladatelem a ředitelem ústavu Život 90. Od roku 2011 je také ředitelem Gerontologického institutu. Působil jako prezident České rady humanitárních organizací, viceprezident Evropského svazu seniorů (EURAG), člen představenstva International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Federation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on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Ageing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(IFA). Je členem Rady vlády pro seniory a otázky stárnutí a reprezentant České republiky v International Network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Prevention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Elder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Abuse INPEA. Je autorem projektů „Systém tísňové péče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Areíon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“, „Komunitní centrum Dům seniorů PORTUS“. Soustavně se věnuje odborné a osvětové činnosti v České republice i v zahraničí. Především o diskriminaci, týrání a zneužívání starších lidí, službách asistovaného života, postavení neformálních pečujících. Prosazuje odpovědnost člověka za svůj život, potřebu hledání smyslu života i v seniorském</w:t>
      </w:r>
      <w:r>
        <w:rPr>
          <w:rFonts w:ascii="Times New Roman" w:hAnsi="Times New Roman" w:cs="Times New Roman"/>
          <w:sz w:val="24"/>
          <w:szCs w:val="24"/>
        </w:rPr>
        <w:t xml:space="preserve"> věku.</w:t>
      </w:r>
    </w:p>
    <w:p w14:paraId="4E37165E" w14:textId="77777777" w:rsidR="00E93047" w:rsidRPr="00E93047" w:rsidRDefault="00E93047" w:rsidP="009D5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Abstrakt:</w:t>
      </w:r>
      <w:r w:rsidRPr="00E93047">
        <w:rPr>
          <w:rFonts w:ascii="Times New Roman" w:hAnsi="Times New Roman" w:cs="Times New Roman"/>
          <w:b/>
          <w:sz w:val="24"/>
          <w:szCs w:val="24"/>
        </w:rPr>
        <w:t>Domácí</w:t>
      </w:r>
      <w:proofErr w:type="spellEnd"/>
      <w:proofErr w:type="gramEnd"/>
      <w:r w:rsidRPr="00E93047">
        <w:rPr>
          <w:rFonts w:ascii="Times New Roman" w:hAnsi="Times New Roman" w:cs="Times New Roman"/>
          <w:b/>
          <w:sz w:val="24"/>
          <w:szCs w:val="24"/>
        </w:rPr>
        <w:t xml:space="preserve"> násilí nebo EAN?</w:t>
      </w:r>
    </w:p>
    <w:p w14:paraId="3261F0FC" w14:textId="77777777" w:rsidR="00137AD4" w:rsidRPr="00FE163C" w:rsidRDefault="00137AD4" w:rsidP="009D590B">
      <w:pPr>
        <w:jc w:val="both"/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Zvykli jsme si označovat pojmem „domácí násilí“ všechny situace, ve kterých dochází k týrání jedné osoby druhou. Zapomínáme přitom na to, že se násilí neodehrává jen doma, ale i v pobytovém zdravotním nebo sociálním zařízení, na úřadech, ve službách. To ale není jediný důvod, proč je třeba rozlišovat mezi domácím násilím, zneužíváním a týráním starých lidí. Rozhodujícím důvodem je jejich</w:t>
      </w:r>
      <w:r>
        <w:t xml:space="preserve"> </w:t>
      </w:r>
      <w:r w:rsidRPr="00E93047">
        <w:rPr>
          <w:rFonts w:ascii="Times New Roman" w:hAnsi="Times New Roman" w:cs="Times New Roman"/>
          <w:b/>
          <w:sz w:val="28"/>
          <w:szCs w:val="28"/>
        </w:rPr>
        <w:t>rozdílné sociální postavení. Jsou závislí ekonomicky, protože jejich rozhodujícím příjmem je starobní důchod a s přibývajícím věkem potřebují ve větší míře sociální služby a zdravotní péči.</w:t>
      </w:r>
      <w:r w:rsidRPr="00A86C68">
        <w:rPr>
          <w:b/>
        </w:rPr>
        <w:t xml:space="preserve">  </w:t>
      </w:r>
    </w:p>
    <w:p w14:paraId="7266CF68" w14:textId="77777777" w:rsidR="00137AD4" w:rsidRDefault="00137AD4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Už v minulém století vznikl ve Spojených státech a Velké Británii Syndrom týraného, zneužívaného a zanedbávaného seniora,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Elder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Abuse and </w:t>
      </w:r>
      <w:proofErr w:type="spellStart"/>
      <w:proofErr w:type="gram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Neglect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EAN</w:t>
      </w:r>
      <w:proofErr w:type="gram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kterým se v roce 2002 zabývalo Světové shromáždění ke stárnutí. Naším cílem musí být implementovat toto široké pojetí špatného zacházení se starými lidmi do praxe nejen v České republice. </w:t>
      </w:r>
    </w:p>
    <w:p w14:paraId="6D2FBD24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B7811BA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84CEBF5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A04D23F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602963A" w14:textId="77777777" w:rsidR="007B3448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B344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B68C68A" wp14:editId="6D956556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428750" cy="1991591"/>
            <wp:effectExtent l="0" t="0" r="0" b="8890"/>
            <wp:wrapTight wrapText="bothSides">
              <wp:wrapPolygon edited="0">
                <wp:start x="0" y="0"/>
                <wp:lineTo x="0" y="21490"/>
                <wp:lineTo x="21312" y="21490"/>
                <wp:lineTo x="2131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9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448">
        <w:rPr>
          <w:rFonts w:ascii="Times New Roman" w:hAnsi="Times New Roman" w:cs="Times New Roman"/>
          <w:b/>
          <w:sz w:val="28"/>
          <w:szCs w:val="28"/>
        </w:rPr>
        <w:t>Prof. Ariela Lowenstein.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C49F2A7" w14:textId="77777777" w:rsidR="001F29A6" w:rsidRP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Oddělení gerontologie &amp; vedoucí sociální gerontologie, Centrum pro výzkum a studium stárnutí, Univerzita Haifa Izrael.</w:t>
      </w:r>
    </w:p>
    <w:p w14:paraId="3BEEEABA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Profesorka </w:t>
      </w:r>
      <w:proofErr w:type="spellStart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Lowensteinová</w:t>
      </w:r>
      <w:proofErr w:type="spellEnd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je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člen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kou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fakulty sociální práce, kde 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dříve 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působila jako asistentka děkana. V roce 2000 založila oddělení gerontologie a vedla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ho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prvních 5 let, a taktéž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založila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Centrum pro výzkum a studium stárnutí. </w:t>
      </w:r>
    </w:p>
    <w:p w14:paraId="57AFB75D" w14:textId="77777777" w:rsidR="007B3448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Má titul MA (magistr společenských věd) v sociální práci a veřejné správě, New York University, USA; doktorát v oboru sociologie, Hebrejská univerzita, Jeruzalém. </w:t>
      </w:r>
    </w:p>
    <w:p w14:paraId="0B1A43CE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Paní profesorka </w:t>
      </w:r>
      <w:proofErr w:type="spellStart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Lowensteinová</w:t>
      </w:r>
      <w:proofErr w:type="spellEnd"/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považována za přední mezinárodní odbornici v oblasti stárnutí, rodinných vztahů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7B3448"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mezigenerační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ch</w:t>
      </w:r>
      <w:r w:rsidR="007B3448"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vztah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ů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věnuje se problematice týrání, zneužívání a zanedbávání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seniorů. Působí v různých mezinárodních radách, jako je 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např. 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INPEA </w:t>
      </w:r>
    </w:p>
    <w:p w14:paraId="09A7E139" w14:textId="77777777" w:rsidR="001F29A6" w:rsidRP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Oblasti výzkumu: Mezigenerační rodinné vztahy, poskytování péče, zneužívání a zanedbávání 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seniorů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cs-CZ"/>
        </w:rPr>
        <w:t>; vyloučení starších, rozvoj strategie, genderové otázky související se stárnutím.</w:t>
      </w:r>
    </w:p>
    <w:p w14:paraId="087801B5" w14:textId="77777777" w:rsidR="001F29A6" w:rsidRDefault="001F29A6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E6207E" w14:textId="77777777" w:rsidR="007B3448" w:rsidRPr="00E93047" w:rsidRDefault="007B3448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797443" w14:textId="77777777" w:rsidR="00137AD4" w:rsidRPr="007B3448" w:rsidRDefault="000327C7" w:rsidP="009D59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75D7FD8" wp14:editId="78FE2EA6">
            <wp:simplePos x="0" y="0"/>
            <wp:positionH relativeFrom="column">
              <wp:posOffset>69850</wp:posOffset>
            </wp:positionH>
            <wp:positionV relativeFrom="paragraph">
              <wp:posOffset>321945</wp:posOffset>
            </wp:positionV>
            <wp:extent cx="1389600" cy="2084400"/>
            <wp:effectExtent l="0" t="0" r="1270" b="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10" name="obrázek 4" descr="O:\GERONTOLOGICKÝ INSTITUT\GI- stáří spojuje\stáří spojuje 2018\Přednášejicí\Kalvach\Foto_ Zdenek_Kalva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208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D4" w:rsidRPr="007B3448">
        <w:rPr>
          <w:rFonts w:ascii="Times New Roman" w:hAnsi="Times New Roman" w:cs="Times New Roman"/>
          <w:b/>
          <w:sz w:val="28"/>
          <w:szCs w:val="28"/>
        </w:rPr>
        <w:t xml:space="preserve">MUDr. Zdeněk </w:t>
      </w:r>
      <w:proofErr w:type="spellStart"/>
      <w:r w:rsidR="00137AD4" w:rsidRPr="007B3448">
        <w:rPr>
          <w:rFonts w:ascii="Times New Roman" w:hAnsi="Times New Roman" w:cs="Times New Roman"/>
          <w:b/>
          <w:sz w:val="28"/>
          <w:szCs w:val="28"/>
        </w:rPr>
        <w:t>Kalvach</w:t>
      </w:r>
      <w:proofErr w:type="spellEnd"/>
      <w:r w:rsidR="00137AD4" w:rsidRPr="007B3448">
        <w:rPr>
          <w:rFonts w:ascii="Times New Roman" w:hAnsi="Times New Roman" w:cs="Times New Roman"/>
          <w:b/>
          <w:sz w:val="28"/>
          <w:szCs w:val="28"/>
        </w:rPr>
        <w:t>, CSc.</w:t>
      </w:r>
    </w:p>
    <w:p w14:paraId="176E1D29" w14:textId="77777777" w:rsidR="00137AD4" w:rsidRPr="007B3448" w:rsidRDefault="00137AD4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UDr. Zdeněk </w:t>
      </w:r>
      <w:proofErr w:type="spellStart"/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>Kalvach</w:t>
      </w:r>
      <w:proofErr w:type="spellEnd"/>
      <w:r w:rsidRPr="007B344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přední český lékař, průkopník moderní geriatrie a gerontologie. Napsal několik geriatrických učebnic a téměř sto odborných a popularizačních článků na zdravotnická i existenciální témata. Přednáší na odborných fórech, na Filosofické fakultě a Evangelické teologické fakultě UK. Je členem Etické komise ČLK, spolupracuje s úřadem Veřejného ochránce práv, byl členem Rady vlády pro seniory a stárnutí populace a náměstkem ministryně pro lidská práva. </w:t>
      </w:r>
    </w:p>
    <w:p w14:paraId="76617A2B" w14:textId="77777777" w:rsidR="00137AD4" w:rsidRDefault="00137AD4" w:rsidP="009D590B">
      <w:pPr>
        <w:jc w:val="both"/>
      </w:pPr>
    </w:p>
    <w:p w14:paraId="1498C061" w14:textId="77777777" w:rsidR="006D0914" w:rsidRDefault="006D0914" w:rsidP="009D590B">
      <w:pPr>
        <w:jc w:val="both"/>
      </w:pPr>
    </w:p>
    <w:p w14:paraId="43190D59" w14:textId="77777777" w:rsidR="006D0914" w:rsidRPr="000327C7" w:rsidRDefault="000327C7" w:rsidP="009D590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3" w:name="_GoBack"/>
      <w:bookmarkEnd w:id="2"/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A508473" wp14:editId="0DF60A38">
            <wp:simplePos x="0" y="0"/>
            <wp:positionH relativeFrom="column">
              <wp:posOffset>20955</wp:posOffset>
            </wp:positionH>
            <wp:positionV relativeFrom="paragraph">
              <wp:posOffset>249555</wp:posOffset>
            </wp:positionV>
            <wp:extent cx="2422818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02" y="21346"/>
                <wp:lineTo x="2140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1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2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Mgr. Alexandr Kasal</w:t>
      </w:r>
    </w:p>
    <w:p w14:paraId="3321ED71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Mgr. Alexandr Kasal se jako výzkumný pracovník Národního ústavu duševního zdraví dlouhodobě věnuje problematice sebevražedného jednání a jeho prevenci, ve své výzkumné praxi se vždy snaží o praktickou uplatnitelnost výstupů. V roce 2019 ve spolupráci se Světovou zdravotnickou organizací koordinoval vznik Národního akčního plánu prevence sebevražd na roky 2020-2030. Je studentem doktorského studia Fakulty sociálních věd na katedře Veřejné a sociální politiky.</w:t>
      </w:r>
    </w:p>
    <w:p w14:paraId="379EE749" w14:textId="77777777" w:rsidR="000327C7" w:rsidRPr="000327C7" w:rsidRDefault="000327C7" w:rsidP="000327C7">
      <w:pPr>
        <w:pStyle w:val="Nadpis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cs-CZ"/>
        </w:rPr>
      </w:pPr>
      <w:r w:rsidRPr="000327C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cs-CZ"/>
        </w:rPr>
        <w:t>Abstrakt: Manuál pomoci při riziku sebevraždy u seniorů</w:t>
      </w:r>
    </w:p>
    <w:p w14:paraId="661BB030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Úvod: Míra sebevražednosti je v populaci českých seniorů v porovnání s národním průměrem více než dvojnásobná. Současně v ČR není dostupný materiál, který by tuto problematiku zpracovával uceleně a s důrazem na preventivní praxi.</w:t>
      </w:r>
    </w:p>
    <w:p w14:paraId="4F430504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Metody: Na základě rešerše dostupné odborné literatury byl navržen první draft Manuálu. Ten byl diskutován se zástupci organizací aktivních v oblasti péče o seniory, s pracovníky seniorské linky a dalšími relevantními aktéry včetně samotných seniorů a byl upraven na základě jejich připomínek a zkušeností.</w:t>
      </w:r>
    </w:p>
    <w:p w14:paraId="592453A7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Výsledky: Výsledkem je Manuál pomoci při riziku sebevraždy u seniorů, který kromě přehledu nejčastějších faktorů spojených se sebevražedným jednáním u seniorů podává i konkrétní praktické rady, jak jednat a pracovat s osobou, u níž se obáváme, že pomýšlí na sebevraždu.</w:t>
      </w:r>
    </w:p>
    <w:bookmarkEnd w:id="3"/>
    <w:p w14:paraId="61AA0868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3115658" w14:textId="77777777" w:rsidR="000327C7" w:rsidRPr="000327C7" w:rsidRDefault="000327C7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0327C7" w:rsidRPr="0003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MDU3NzI3NTU0MzFX0lEKTi0uzszPAykwrQUA7007zywAAAA="/>
  </w:docVars>
  <w:rsids>
    <w:rsidRoot w:val="00527526"/>
    <w:rsid w:val="00025232"/>
    <w:rsid w:val="000327C7"/>
    <w:rsid w:val="0005335B"/>
    <w:rsid w:val="00137AD4"/>
    <w:rsid w:val="001F29A6"/>
    <w:rsid w:val="00527526"/>
    <w:rsid w:val="005F275F"/>
    <w:rsid w:val="00611799"/>
    <w:rsid w:val="006D0914"/>
    <w:rsid w:val="007B3448"/>
    <w:rsid w:val="009D590B"/>
    <w:rsid w:val="00E500C9"/>
    <w:rsid w:val="00E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5D4F"/>
  <w15:chartTrackingRefBased/>
  <w15:docId w15:val="{D3C16F60-1669-441F-BFC9-1663EB3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7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00C9"/>
    <w:rPr>
      <w:color w:val="0563C1"/>
      <w:u w:val="single"/>
    </w:rPr>
  </w:style>
  <w:style w:type="paragraph" w:customStyle="1" w:styleId="paragraph">
    <w:name w:val="paragraph"/>
    <w:basedOn w:val="Normln"/>
    <w:qFormat/>
    <w:rsid w:val="000533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customStyle="1" w:styleId="normaltextrun">
    <w:name w:val="normaltextrun"/>
    <w:basedOn w:val="Standardnpsmoodstavce"/>
    <w:qFormat/>
    <w:rsid w:val="00E93047"/>
  </w:style>
  <w:style w:type="character" w:customStyle="1" w:styleId="Nadpis1Char">
    <w:name w:val="Nadpis 1 Char"/>
    <w:basedOn w:val="Standardnpsmoodstavce"/>
    <w:link w:val="Nadpis1"/>
    <w:uiPriority w:val="9"/>
    <w:rsid w:val="0003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2" ma:contentTypeDescription="Vytvoří nový dokument" ma:contentTypeScope="" ma:versionID="ed98f50d4cf55640fa9f713af6874f68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9e3056825755e13c4da16acaec409ac8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1B2AE-6FE1-46C7-B39C-6BCD287A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75CCC-F6EA-427E-A6F9-810EB561F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3078C-7032-4327-ADE7-142DEB8FDDAD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57f458bb-88fe-4f73-b10f-8985718f931d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3f396207-7257-4ca1-b5dc-857f51a430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Aneta Šebková</cp:lastModifiedBy>
  <cp:revision>2</cp:revision>
  <dcterms:created xsi:type="dcterms:W3CDTF">2020-02-27T07:42:00Z</dcterms:created>
  <dcterms:modified xsi:type="dcterms:W3CDTF">2020-02-27T07:42:00Z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