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6C1A7" w14:textId="77777777" w:rsidR="000A1D20" w:rsidRDefault="000A1D20" w:rsidP="000A1D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Doc. PhDr. Ludmila Čírtková, CSc., Dr. h. c. </w:t>
      </w:r>
    </w:p>
    <w:p w14:paraId="03300321" w14:textId="77777777" w:rsidR="000A1D20" w:rsidRDefault="000A1D20" w:rsidP="000A1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FDEBC4" wp14:editId="1F4A9BA4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2070100" cy="2988945"/>
            <wp:effectExtent l="0" t="0" r="6350" b="1905"/>
            <wp:wrapTight wrapText="bothSides">
              <wp:wrapPolygon edited="0">
                <wp:start x="0" y="0"/>
                <wp:lineTo x="0" y="21476"/>
                <wp:lineTo x="21467" y="21476"/>
                <wp:lineTo x="2146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Forenzní psycholožka, akademická pracovnice, soudní znalkyně</w:t>
      </w:r>
    </w:p>
    <w:p w14:paraId="63F4CC32" w14:textId="77777777" w:rsidR="000A1D20" w:rsidRDefault="000A1D20" w:rsidP="000A1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14A97BF" w14:textId="77777777" w:rsidR="000A1D20" w:rsidRDefault="000A1D20" w:rsidP="000A1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Jako forenzní psycholožka spolupracuje na objasňování a vyšetřování závažné trestné činnosti. Externě přednáší forenzní psychologii na Právnické fakultě UK. Je akademickou pracovnicí Fakulty biomedicínského inženýrství ČVUT, kde se zaměřuje na otázky radikalizace a extrémního násilí. Do loňského roku působila jako prorektorka Policejní akademie ČR v Praze. Dlouhodobě se věnuje problematice domácího násilí a viktimologii.  </w:t>
      </w:r>
    </w:p>
    <w:p w14:paraId="65AC5559" w14:textId="77777777" w:rsidR="000A1D20" w:rsidRDefault="000A1D20" w:rsidP="000A1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Ve svém volnu pracuje v rámci dobrovolnictví v Bílém kruhu bezpečí, který pomáhá obětem trestných činů. Jako psycholog působí v poradně pro oběti trestných činů. Vydala několik knih, poslední se jmenuje Viktimologie pro forenzní praxi. </w:t>
      </w:r>
    </w:p>
    <w:p w14:paraId="1F5324CE" w14:textId="77777777" w:rsidR="000A1D20" w:rsidRDefault="000A1D20" w:rsidP="000A1D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Absolvovala jednooborovou psychologii na Filozofické fakultě UK.</w:t>
      </w:r>
    </w:p>
    <w:p w14:paraId="53B7B4C6" w14:textId="77777777" w:rsidR="000A1D20" w:rsidRDefault="000A1D20" w:rsidP="000A1D20"/>
    <w:p w14:paraId="499EE3C6" w14:textId="77777777" w:rsidR="000A1D20" w:rsidRPr="00E93047" w:rsidRDefault="000A1D20" w:rsidP="000A1D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Abstrakt: </w:t>
      </w:r>
      <w:r w:rsidRPr="00E93047">
        <w:rPr>
          <w:rFonts w:ascii="Times New Roman" w:hAnsi="Times New Roman" w:cs="Times New Roman"/>
          <w:b/>
          <w:sz w:val="24"/>
          <w:szCs w:val="24"/>
        </w:rPr>
        <w:t>Typologie oběti a pachatele</w:t>
      </w:r>
    </w:p>
    <w:p w14:paraId="6F950695" w14:textId="77777777" w:rsidR="000A1D20" w:rsidRDefault="000A1D20" w:rsidP="000A1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Příspěvek nabídne vhled do současných přístupů k typologiím. Jaký praktický význam mají typologie pachatelů a obětí pro prevenci EAN? Na tuto otázku hledá autorka odpověď. Zaměří se zejména na „</w:t>
      </w:r>
      <w:proofErr w:type="spellStart"/>
      <w:r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Abuse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Neglect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“. Varieta profilů pachatelů z řad blízkých osob bude ilustrována na dvou domácích případech. Různorodost psychologických profilů pachatelů a také rozmanitost podob EAN klade značné nároky na detekci a včasnou intervenci případů EAN. Mnohé rizikové faktory nejsou totiž včas viditelné. Prolomit skrytost tohoto negativního jevu je prvním krůčkem k jeho prevenci anebo kontrole. Do budoucna je nutné zlepšit informovanost veřejnosti, ale také dostupnost pomoci pro oběti. </w:t>
      </w:r>
    </w:p>
    <w:p w14:paraId="432A724C" w14:textId="77777777" w:rsidR="000A1D20" w:rsidRDefault="000A1D20" w:rsidP="000A1D20"/>
    <w:p w14:paraId="4E6FA44D" w14:textId="77777777" w:rsidR="00AB40E1" w:rsidRDefault="00AB40E1">
      <w:bookmarkStart w:id="0" w:name="_GoBack"/>
      <w:bookmarkEnd w:id="0"/>
    </w:p>
    <w:sectPr w:rsidR="00AB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20"/>
    <w:rsid w:val="000A1D20"/>
    <w:rsid w:val="00AB40E1"/>
    <w:rsid w:val="00D0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E743"/>
  <w15:chartTrackingRefBased/>
  <w15:docId w15:val="{950D0484-EB32-424B-977D-6B4D694B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A1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03AFDEF1E36498E228E926A846CD2" ma:contentTypeVersion="10" ma:contentTypeDescription="Vytvoří nový dokument" ma:contentTypeScope="" ma:versionID="e1467b9328ff0b12248a65b6d20bd1d0">
  <xsd:schema xmlns:xsd="http://www.w3.org/2001/XMLSchema" xmlns:xs="http://www.w3.org/2001/XMLSchema" xmlns:p="http://schemas.microsoft.com/office/2006/metadata/properties" xmlns:ns3="57f458bb-88fe-4f73-b10f-8985718f931d" xmlns:ns4="3f396207-7257-4ca1-b5dc-857f51a4304d" targetNamespace="http://schemas.microsoft.com/office/2006/metadata/properties" ma:root="true" ma:fieldsID="1a5c85c0d94ba13198e2c2497cb2b71c" ns3:_="" ns4:_="">
    <xsd:import namespace="57f458bb-88fe-4f73-b10f-8985718f931d"/>
    <xsd:import namespace="3f396207-7257-4ca1-b5dc-857f51a43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458bb-88fe-4f73-b10f-8985718f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96207-7257-4ca1-b5dc-857f51a43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76641-8933-42AB-BCAA-3817522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458bb-88fe-4f73-b10f-8985718f931d"/>
    <ds:schemaRef ds:uri="3f396207-7257-4ca1-b5dc-857f51a43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2D342-62C6-47F6-8867-9E7538C3A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600A1-3B77-4938-9D9B-6F0ECBCCE9B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f396207-7257-4ca1-b5dc-857f51a4304d"/>
    <ds:schemaRef ds:uri="http://purl.org/dc/terms/"/>
    <ds:schemaRef ds:uri="http://schemas.microsoft.com/office/infopath/2007/PartnerControls"/>
    <ds:schemaRef ds:uri="57f458bb-88fe-4f73-b10f-8985718f931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Šebková</dc:creator>
  <cp:keywords/>
  <dc:description/>
  <cp:lastModifiedBy>Aneta Šebková</cp:lastModifiedBy>
  <cp:revision>1</cp:revision>
  <dcterms:created xsi:type="dcterms:W3CDTF">2020-02-21T09:54:00Z</dcterms:created>
  <dcterms:modified xsi:type="dcterms:W3CDTF">2020-02-21T10:12:00Z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0x01010071C03AFDEF1E36498E228E926A846CD2</vt:lpwstr>
  </property>
</Properties>
</file>